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3CEB" w14:textId="4E70673A" w:rsidR="00776C2B" w:rsidRPr="007F2FF6" w:rsidRDefault="00A5325F">
      <w:pPr>
        <w:rPr>
          <w:rFonts w:cs="Arial"/>
          <w:b/>
          <w:bCs/>
        </w:rPr>
      </w:pPr>
      <w:r w:rsidRPr="007F2FF6">
        <w:rPr>
          <w:rFonts w:cs="Arial"/>
          <w:b/>
          <w:bCs/>
        </w:rPr>
        <w:t>P</w:t>
      </w:r>
      <w:r w:rsidR="00AF7371" w:rsidRPr="007F2FF6">
        <w:rPr>
          <w:rFonts w:cs="Arial"/>
          <w:b/>
          <w:bCs/>
        </w:rPr>
        <w:t>lasmids used in this study:</w:t>
      </w:r>
    </w:p>
    <w:p w14:paraId="113D084B" w14:textId="6D73D14D" w:rsidR="00AF7371" w:rsidRPr="007F2FF6" w:rsidRDefault="00AF7371">
      <w:pPr>
        <w:rPr>
          <w:rFonts w:cs="Arial"/>
        </w:rPr>
      </w:pPr>
    </w:p>
    <w:tbl>
      <w:tblPr>
        <w:tblStyle w:val="TableGrid"/>
        <w:tblW w:w="0" w:type="auto"/>
        <w:tblLook w:val="04A0" w:firstRow="1" w:lastRow="0" w:firstColumn="1" w:lastColumn="0" w:noHBand="0" w:noVBand="1"/>
      </w:tblPr>
      <w:tblGrid>
        <w:gridCol w:w="1717"/>
        <w:gridCol w:w="4436"/>
        <w:gridCol w:w="3197"/>
      </w:tblGrid>
      <w:tr w:rsidR="00AF7371" w:rsidRPr="007F2FF6" w14:paraId="39B5EEC6" w14:textId="77777777" w:rsidTr="001A5853">
        <w:trPr>
          <w:trHeight w:val="332"/>
        </w:trPr>
        <w:tc>
          <w:tcPr>
            <w:tcW w:w="1717" w:type="dxa"/>
          </w:tcPr>
          <w:p w14:paraId="3206C795" w14:textId="77777777" w:rsidR="00AF7371" w:rsidRPr="007F2FF6" w:rsidRDefault="00AF7371" w:rsidP="001A5853">
            <w:pPr>
              <w:spacing w:line="360" w:lineRule="auto"/>
              <w:jc w:val="both"/>
              <w:rPr>
                <w:rFonts w:cs="Arial"/>
              </w:rPr>
            </w:pPr>
            <w:r w:rsidRPr="007F2FF6">
              <w:rPr>
                <w:rFonts w:cs="Arial"/>
              </w:rPr>
              <w:t>Plasmid Name</w:t>
            </w:r>
          </w:p>
        </w:tc>
        <w:tc>
          <w:tcPr>
            <w:tcW w:w="4436" w:type="dxa"/>
          </w:tcPr>
          <w:p w14:paraId="49236915" w14:textId="77777777" w:rsidR="00AF7371" w:rsidRPr="007F2FF6" w:rsidRDefault="00AF7371" w:rsidP="001A5853">
            <w:pPr>
              <w:spacing w:line="360" w:lineRule="auto"/>
              <w:jc w:val="both"/>
              <w:rPr>
                <w:rFonts w:cs="Arial"/>
              </w:rPr>
            </w:pPr>
            <w:r w:rsidRPr="007F2FF6">
              <w:rPr>
                <w:rFonts w:cs="Arial"/>
              </w:rPr>
              <w:t>Description</w:t>
            </w:r>
          </w:p>
        </w:tc>
        <w:tc>
          <w:tcPr>
            <w:tcW w:w="3197" w:type="dxa"/>
          </w:tcPr>
          <w:p w14:paraId="6E832F2E" w14:textId="77777777" w:rsidR="00AF7371" w:rsidRPr="007F2FF6" w:rsidRDefault="00AF7371" w:rsidP="001A5853">
            <w:pPr>
              <w:spacing w:line="360" w:lineRule="auto"/>
              <w:jc w:val="both"/>
              <w:rPr>
                <w:rFonts w:cs="Arial"/>
              </w:rPr>
            </w:pPr>
            <w:r w:rsidRPr="007F2FF6">
              <w:rPr>
                <w:rFonts w:cs="Arial"/>
              </w:rPr>
              <w:t>Cloned by</w:t>
            </w:r>
          </w:p>
        </w:tc>
      </w:tr>
      <w:tr w:rsidR="00DD6CA0" w:rsidRPr="007F2FF6" w14:paraId="1C68CDDC" w14:textId="77777777" w:rsidTr="001417C1">
        <w:trPr>
          <w:trHeight w:val="332"/>
        </w:trPr>
        <w:tc>
          <w:tcPr>
            <w:tcW w:w="9350" w:type="dxa"/>
            <w:gridSpan w:val="3"/>
          </w:tcPr>
          <w:p w14:paraId="32CDCE1C" w14:textId="5602C4C8" w:rsidR="00DD6CA0" w:rsidRPr="007F2FF6" w:rsidRDefault="00DD6CA0" w:rsidP="001A5853">
            <w:pPr>
              <w:spacing w:line="360" w:lineRule="auto"/>
              <w:jc w:val="both"/>
              <w:rPr>
                <w:rFonts w:cs="Arial"/>
              </w:rPr>
            </w:pPr>
            <w:r w:rsidRPr="007F2FF6">
              <w:rPr>
                <w:rFonts w:cs="Arial"/>
              </w:rPr>
              <w:t>Figure 1-3</w:t>
            </w:r>
          </w:p>
        </w:tc>
      </w:tr>
      <w:tr w:rsidR="00AF7371" w:rsidRPr="007F2FF6" w14:paraId="7E6E1F8B" w14:textId="77777777" w:rsidTr="001A5853">
        <w:tc>
          <w:tcPr>
            <w:tcW w:w="1717" w:type="dxa"/>
          </w:tcPr>
          <w:p w14:paraId="5DD6254A" w14:textId="77777777" w:rsidR="00AF7371" w:rsidRPr="007F2FF6" w:rsidRDefault="00AF7371" w:rsidP="001A5853">
            <w:pPr>
              <w:spacing w:line="360" w:lineRule="auto"/>
              <w:jc w:val="both"/>
              <w:rPr>
                <w:rFonts w:cs="Arial"/>
              </w:rPr>
            </w:pPr>
            <w:r w:rsidRPr="007F2FF6">
              <w:rPr>
                <w:rFonts w:cs="Arial"/>
              </w:rPr>
              <w:t>pACC6</w:t>
            </w:r>
          </w:p>
        </w:tc>
        <w:tc>
          <w:tcPr>
            <w:tcW w:w="4436" w:type="dxa"/>
          </w:tcPr>
          <w:p w14:paraId="7B61780C" w14:textId="648B3955" w:rsidR="00AF7371" w:rsidRPr="007F2FF6" w:rsidRDefault="00B64679" w:rsidP="001A5853">
            <w:pPr>
              <w:spacing w:line="360" w:lineRule="auto"/>
              <w:rPr>
                <w:rFonts w:cs="Arial"/>
              </w:rPr>
            </w:pPr>
            <w:r w:rsidRPr="007F2FF6">
              <w:rPr>
                <w:rFonts w:cs="Arial"/>
              </w:rPr>
              <w:t>P</w:t>
            </w:r>
            <w:r w:rsidR="00AF7371" w:rsidRPr="007F2FF6">
              <w:rPr>
                <w:rFonts w:cs="Arial"/>
              </w:rPr>
              <w:t>flp-</w:t>
            </w:r>
            <w:proofErr w:type="gramStart"/>
            <w:r w:rsidR="00AF7371" w:rsidRPr="007F2FF6">
              <w:rPr>
                <w:rFonts w:cs="Arial"/>
              </w:rPr>
              <w:t>13::</w:t>
            </w:r>
            <w:proofErr w:type="spellStart"/>
            <w:proofErr w:type="gramEnd"/>
            <w:r w:rsidR="00AF7371" w:rsidRPr="007F2FF6">
              <w:rPr>
                <w:rFonts w:cs="Arial"/>
              </w:rPr>
              <w:t>LifeAct</w:t>
            </w:r>
            <w:proofErr w:type="spellEnd"/>
            <w:r w:rsidR="00AF7371" w:rsidRPr="007F2FF6">
              <w:rPr>
                <w:rFonts w:cs="Arial"/>
              </w:rPr>
              <w:t>::GFP</w:t>
            </w:r>
          </w:p>
        </w:tc>
        <w:tc>
          <w:tcPr>
            <w:tcW w:w="3197" w:type="dxa"/>
          </w:tcPr>
          <w:p w14:paraId="65476156" w14:textId="77777777" w:rsidR="00AF7371" w:rsidRPr="007F2FF6" w:rsidRDefault="00AF7371" w:rsidP="001A5853">
            <w:pPr>
              <w:spacing w:line="360" w:lineRule="auto"/>
              <w:jc w:val="both"/>
              <w:rPr>
                <w:rFonts w:cs="Arial"/>
              </w:rPr>
            </w:pPr>
            <w:proofErr w:type="spellStart"/>
            <w:r w:rsidRPr="007F2FF6">
              <w:rPr>
                <w:rFonts w:cs="Arial"/>
              </w:rPr>
              <w:t>InFusion</w:t>
            </w:r>
            <w:proofErr w:type="spellEnd"/>
            <w:r w:rsidRPr="007F2FF6">
              <w:rPr>
                <w:rFonts w:cs="Arial"/>
              </w:rPr>
              <w:t xml:space="preserve"> cloning</w:t>
            </w:r>
          </w:p>
        </w:tc>
      </w:tr>
      <w:tr w:rsidR="00DD6CA0" w:rsidRPr="007F2FF6" w14:paraId="45CC7944" w14:textId="77777777" w:rsidTr="001A5853">
        <w:tc>
          <w:tcPr>
            <w:tcW w:w="1717" w:type="dxa"/>
          </w:tcPr>
          <w:p w14:paraId="684ECFE1" w14:textId="02433B2B" w:rsidR="00DD6CA0" w:rsidRPr="007F2FF6" w:rsidRDefault="00DD6CA0" w:rsidP="00DD6CA0">
            <w:pPr>
              <w:jc w:val="both"/>
              <w:rPr>
                <w:rFonts w:cs="Arial"/>
              </w:rPr>
            </w:pPr>
            <w:r w:rsidRPr="007F2FF6">
              <w:rPr>
                <w:rFonts w:cs="Arial"/>
              </w:rPr>
              <w:t>pACC100</w:t>
            </w:r>
          </w:p>
        </w:tc>
        <w:tc>
          <w:tcPr>
            <w:tcW w:w="4436" w:type="dxa"/>
          </w:tcPr>
          <w:p w14:paraId="3289E3F9" w14:textId="6F19BE45" w:rsidR="00DD6CA0" w:rsidRPr="007F2FF6" w:rsidRDefault="00B64679" w:rsidP="00DD6CA0">
            <w:pPr>
              <w:rPr>
                <w:rFonts w:cs="Arial"/>
              </w:rPr>
            </w:pPr>
            <w:r w:rsidRPr="007F2FF6">
              <w:rPr>
                <w:rFonts w:cs="Arial"/>
                <w:color w:val="000000"/>
              </w:rPr>
              <w:t>P</w:t>
            </w:r>
            <w:r w:rsidR="00DD6CA0" w:rsidRPr="007F2FF6">
              <w:rPr>
                <w:rFonts w:cs="Arial"/>
                <w:color w:val="000000"/>
              </w:rPr>
              <w:t>flp</w:t>
            </w:r>
            <w:proofErr w:type="gramStart"/>
            <w:r w:rsidR="00DD6CA0" w:rsidRPr="007F2FF6">
              <w:rPr>
                <w:rFonts w:cs="Arial"/>
                <w:color w:val="000000"/>
              </w:rPr>
              <w:t>13::</w:t>
            </w:r>
            <w:proofErr w:type="gramEnd"/>
            <w:r w:rsidR="00DD6CA0" w:rsidRPr="007F2FF6">
              <w:rPr>
                <w:rFonts w:cs="Arial"/>
                <w:color w:val="000000"/>
              </w:rPr>
              <w:t>GFP::Utrophin</w:t>
            </w:r>
          </w:p>
        </w:tc>
        <w:tc>
          <w:tcPr>
            <w:tcW w:w="3197" w:type="dxa"/>
          </w:tcPr>
          <w:p w14:paraId="6EFB9D3F" w14:textId="385B137E" w:rsidR="00DD6CA0" w:rsidRPr="007F2FF6" w:rsidRDefault="00DD6CA0" w:rsidP="00DD6CA0">
            <w:pPr>
              <w:jc w:val="both"/>
              <w:rPr>
                <w:rFonts w:cs="Arial"/>
              </w:rPr>
            </w:pPr>
            <w:proofErr w:type="spellStart"/>
            <w:r w:rsidRPr="007F2FF6">
              <w:rPr>
                <w:rFonts w:cs="Arial"/>
              </w:rPr>
              <w:t>InFusion</w:t>
            </w:r>
            <w:proofErr w:type="spellEnd"/>
            <w:r w:rsidRPr="007F2FF6">
              <w:rPr>
                <w:rFonts w:cs="Arial"/>
              </w:rPr>
              <w:t xml:space="preserve"> cloning</w:t>
            </w:r>
          </w:p>
        </w:tc>
      </w:tr>
      <w:tr w:rsidR="00DD6CA0" w:rsidRPr="007F2FF6" w14:paraId="358DBC9F" w14:textId="77777777" w:rsidTr="001A5853">
        <w:tc>
          <w:tcPr>
            <w:tcW w:w="1717" w:type="dxa"/>
          </w:tcPr>
          <w:p w14:paraId="19719CE2" w14:textId="190798E0" w:rsidR="00DD6CA0" w:rsidRPr="007F2FF6" w:rsidRDefault="00DD6CA0" w:rsidP="00DD6CA0">
            <w:pPr>
              <w:jc w:val="both"/>
              <w:rPr>
                <w:rFonts w:cs="Arial"/>
              </w:rPr>
            </w:pPr>
            <w:r w:rsidRPr="007F2FF6">
              <w:rPr>
                <w:rFonts w:cs="Arial"/>
              </w:rPr>
              <w:t>pACC128</w:t>
            </w:r>
          </w:p>
        </w:tc>
        <w:tc>
          <w:tcPr>
            <w:tcW w:w="4436" w:type="dxa"/>
          </w:tcPr>
          <w:p w14:paraId="369C5482" w14:textId="78F19C10" w:rsidR="00DD6CA0" w:rsidRPr="007F2FF6" w:rsidRDefault="00B64679" w:rsidP="00DD6CA0">
            <w:pPr>
              <w:rPr>
                <w:rFonts w:cs="Arial"/>
                <w:color w:val="000000"/>
              </w:rPr>
            </w:pPr>
            <w:r w:rsidRPr="007F2FF6">
              <w:rPr>
                <w:rFonts w:cs="Arial"/>
              </w:rPr>
              <w:t>P</w:t>
            </w:r>
            <w:r w:rsidR="00DD6CA0" w:rsidRPr="007F2FF6">
              <w:rPr>
                <w:rFonts w:cs="Arial"/>
              </w:rPr>
              <w:t>flp-</w:t>
            </w:r>
            <w:proofErr w:type="gramStart"/>
            <w:r w:rsidR="00DD6CA0" w:rsidRPr="007F2FF6">
              <w:rPr>
                <w:rFonts w:cs="Arial"/>
              </w:rPr>
              <w:t>13::</w:t>
            </w:r>
            <w:proofErr w:type="spellStart"/>
            <w:proofErr w:type="gramEnd"/>
            <w:r w:rsidR="00DD6CA0" w:rsidRPr="007F2FF6">
              <w:rPr>
                <w:rFonts w:cs="Arial"/>
              </w:rPr>
              <w:t>myr</w:t>
            </w:r>
            <w:proofErr w:type="spellEnd"/>
            <w:r w:rsidR="00DD6CA0" w:rsidRPr="007F2FF6">
              <w:rPr>
                <w:rFonts w:cs="Arial"/>
              </w:rPr>
              <w:t>::mRuby3</w:t>
            </w:r>
          </w:p>
        </w:tc>
        <w:tc>
          <w:tcPr>
            <w:tcW w:w="3197" w:type="dxa"/>
          </w:tcPr>
          <w:p w14:paraId="2662C0DE" w14:textId="04425D5C" w:rsidR="00DD6CA0" w:rsidRPr="007F2FF6" w:rsidRDefault="00DD6CA0" w:rsidP="00DD6CA0">
            <w:pPr>
              <w:jc w:val="both"/>
              <w:rPr>
                <w:rFonts w:cs="Arial"/>
              </w:rPr>
            </w:pPr>
            <w:proofErr w:type="spellStart"/>
            <w:r w:rsidRPr="007F2FF6">
              <w:rPr>
                <w:rFonts w:cs="Arial"/>
              </w:rPr>
              <w:t>InFusion</w:t>
            </w:r>
            <w:proofErr w:type="spellEnd"/>
            <w:r w:rsidRPr="007F2FF6">
              <w:rPr>
                <w:rFonts w:cs="Arial"/>
              </w:rPr>
              <w:t xml:space="preserve"> cloning</w:t>
            </w:r>
          </w:p>
        </w:tc>
      </w:tr>
      <w:tr w:rsidR="00DD6CA0" w:rsidRPr="007F2FF6" w14:paraId="5EF3EF26" w14:textId="77777777" w:rsidTr="00A068B8">
        <w:trPr>
          <w:trHeight w:val="251"/>
        </w:trPr>
        <w:tc>
          <w:tcPr>
            <w:tcW w:w="9350" w:type="dxa"/>
            <w:gridSpan w:val="3"/>
          </w:tcPr>
          <w:p w14:paraId="23DFE228" w14:textId="3F2A646F" w:rsidR="00DD6CA0" w:rsidRPr="007F2FF6" w:rsidRDefault="00DD6CA0" w:rsidP="00DD6CA0">
            <w:pPr>
              <w:jc w:val="both"/>
              <w:rPr>
                <w:rFonts w:cs="Arial"/>
              </w:rPr>
            </w:pPr>
            <w:r w:rsidRPr="007F2FF6">
              <w:rPr>
                <w:rFonts w:cs="Arial"/>
              </w:rPr>
              <w:t>Figure 4</w:t>
            </w:r>
          </w:p>
        </w:tc>
      </w:tr>
      <w:tr w:rsidR="00DD6CA0" w:rsidRPr="007F2FF6" w14:paraId="36B2FA6C" w14:textId="77777777" w:rsidTr="00DD6CA0">
        <w:tc>
          <w:tcPr>
            <w:tcW w:w="1717" w:type="dxa"/>
          </w:tcPr>
          <w:p w14:paraId="74FBDC8D" w14:textId="77777777" w:rsidR="00DD6CA0" w:rsidRPr="007F2FF6" w:rsidRDefault="00DD6CA0" w:rsidP="00DD6CA0">
            <w:pPr>
              <w:jc w:val="both"/>
              <w:rPr>
                <w:rFonts w:cs="Arial"/>
              </w:rPr>
            </w:pPr>
            <w:r w:rsidRPr="007F2FF6">
              <w:rPr>
                <w:rFonts w:cs="Arial"/>
              </w:rPr>
              <w:t>pACC92</w:t>
            </w:r>
          </w:p>
        </w:tc>
        <w:tc>
          <w:tcPr>
            <w:tcW w:w="4436" w:type="dxa"/>
          </w:tcPr>
          <w:p w14:paraId="7D490D7F" w14:textId="728DE467" w:rsidR="00DD6CA0" w:rsidRPr="007F2FF6" w:rsidRDefault="00B64679" w:rsidP="00DD6CA0">
            <w:pPr>
              <w:rPr>
                <w:rFonts w:cs="Arial"/>
              </w:rPr>
            </w:pPr>
            <w:r w:rsidRPr="007F2FF6">
              <w:rPr>
                <w:rFonts w:cs="Arial"/>
              </w:rPr>
              <w:t>P</w:t>
            </w:r>
            <w:r w:rsidR="00DD6CA0" w:rsidRPr="007F2FF6">
              <w:rPr>
                <w:rFonts w:cs="Arial"/>
              </w:rPr>
              <w:t>unc-</w:t>
            </w:r>
            <w:proofErr w:type="gramStart"/>
            <w:r w:rsidR="00DD6CA0" w:rsidRPr="007F2FF6">
              <w:rPr>
                <w:rFonts w:cs="Arial"/>
              </w:rPr>
              <w:t>4::</w:t>
            </w:r>
            <w:proofErr w:type="spellStart"/>
            <w:proofErr w:type="gramEnd"/>
            <w:r w:rsidR="00DD6CA0" w:rsidRPr="007F2FF6">
              <w:rPr>
                <w:rFonts w:cs="Arial"/>
              </w:rPr>
              <w:t>ceChrimson</w:t>
            </w:r>
            <w:proofErr w:type="spellEnd"/>
            <w:r w:rsidR="00DD6CA0" w:rsidRPr="007F2FF6">
              <w:rPr>
                <w:rFonts w:cs="Arial"/>
              </w:rPr>
              <w:t>::SL2::3xNLS::GFP</w:t>
            </w:r>
          </w:p>
        </w:tc>
        <w:tc>
          <w:tcPr>
            <w:tcW w:w="3197" w:type="dxa"/>
          </w:tcPr>
          <w:p w14:paraId="7697C023" w14:textId="77777777" w:rsidR="00DD6CA0" w:rsidRPr="007F2FF6" w:rsidRDefault="00DD6CA0" w:rsidP="00DD6CA0">
            <w:pPr>
              <w:jc w:val="both"/>
              <w:rPr>
                <w:rFonts w:cs="Arial"/>
              </w:rPr>
            </w:pPr>
            <w:proofErr w:type="spellStart"/>
            <w:r w:rsidRPr="007F2FF6">
              <w:rPr>
                <w:rFonts w:cs="Arial"/>
              </w:rPr>
              <w:t>InFusion</w:t>
            </w:r>
            <w:proofErr w:type="spellEnd"/>
            <w:r w:rsidRPr="007F2FF6">
              <w:rPr>
                <w:rFonts w:cs="Arial"/>
              </w:rPr>
              <w:t xml:space="preserve"> cloning</w:t>
            </w:r>
          </w:p>
        </w:tc>
      </w:tr>
      <w:tr w:rsidR="00DD6CA0" w:rsidRPr="007F2FF6" w14:paraId="23CAB5C3" w14:textId="77777777" w:rsidTr="00DD6CA0">
        <w:trPr>
          <w:trHeight w:val="215"/>
        </w:trPr>
        <w:tc>
          <w:tcPr>
            <w:tcW w:w="1717" w:type="dxa"/>
          </w:tcPr>
          <w:p w14:paraId="05767187" w14:textId="77777777" w:rsidR="00DD6CA0" w:rsidRPr="007F2FF6" w:rsidRDefault="00DD6CA0" w:rsidP="00F22790">
            <w:pPr>
              <w:tabs>
                <w:tab w:val="right" w:pos="1939"/>
              </w:tabs>
              <w:spacing w:line="360" w:lineRule="auto"/>
              <w:jc w:val="both"/>
              <w:rPr>
                <w:rFonts w:cs="Arial"/>
              </w:rPr>
            </w:pPr>
            <w:r w:rsidRPr="007F2FF6">
              <w:rPr>
                <w:rFonts w:cs="Arial"/>
              </w:rPr>
              <w:t>pACC83</w:t>
            </w:r>
            <w:r w:rsidRPr="007F2FF6">
              <w:rPr>
                <w:rFonts w:cs="Arial"/>
              </w:rPr>
              <w:tab/>
            </w:r>
          </w:p>
        </w:tc>
        <w:tc>
          <w:tcPr>
            <w:tcW w:w="4436" w:type="dxa"/>
          </w:tcPr>
          <w:p w14:paraId="2BEE0A48" w14:textId="117F912E" w:rsidR="00DD6CA0" w:rsidRPr="007F2FF6" w:rsidRDefault="00B64679" w:rsidP="00F22790">
            <w:pPr>
              <w:spacing w:line="360" w:lineRule="auto"/>
              <w:rPr>
                <w:rFonts w:cs="Arial"/>
              </w:rPr>
            </w:pPr>
            <w:r w:rsidRPr="007F2FF6">
              <w:rPr>
                <w:rFonts w:cs="Arial"/>
              </w:rPr>
              <w:t>P</w:t>
            </w:r>
            <w:r w:rsidR="00DD6CA0" w:rsidRPr="007F2FF6">
              <w:rPr>
                <w:rFonts w:cs="Arial"/>
              </w:rPr>
              <w:t>flp-</w:t>
            </w:r>
            <w:proofErr w:type="gramStart"/>
            <w:r w:rsidR="00DD6CA0" w:rsidRPr="007F2FF6">
              <w:rPr>
                <w:rFonts w:cs="Arial"/>
              </w:rPr>
              <w:t>13::</w:t>
            </w:r>
            <w:proofErr w:type="gramEnd"/>
            <w:r w:rsidR="00DD6CA0" w:rsidRPr="007F2FF6">
              <w:rPr>
                <w:rFonts w:cs="Arial"/>
              </w:rPr>
              <w:t>GCaMP6s::SL2::</w:t>
            </w:r>
            <w:proofErr w:type="spellStart"/>
            <w:r w:rsidR="00DD6CA0" w:rsidRPr="007F2FF6">
              <w:rPr>
                <w:rFonts w:cs="Arial"/>
              </w:rPr>
              <w:t>mCherry</w:t>
            </w:r>
            <w:proofErr w:type="spellEnd"/>
          </w:p>
        </w:tc>
        <w:tc>
          <w:tcPr>
            <w:tcW w:w="3197" w:type="dxa"/>
          </w:tcPr>
          <w:p w14:paraId="660D3582" w14:textId="77777777" w:rsidR="00DD6CA0" w:rsidRPr="007F2FF6" w:rsidRDefault="00DD6CA0" w:rsidP="00F22790">
            <w:pPr>
              <w:spacing w:line="360" w:lineRule="auto"/>
              <w:jc w:val="both"/>
              <w:rPr>
                <w:rFonts w:cs="Arial"/>
              </w:rPr>
            </w:pPr>
            <w:proofErr w:type="spellStart"/>
            <w:r w:rsidRPr="007F2FF6">
              <w:rPr>
                <w:rFonts w:cs="Arial"/>
              </w:rPr>
              <w:t>InFusion</w:t>
            </w:r>
            <w:proofErr w:type="spellEnd"/>
            <w:r w:rsidRPr="007F2FF6">
              <w:rPr>
                <w:rFonts w:cs="Arial"/>
              </w:rPr>
              <w:t xml:space="preserve"> cloning</w:t>
            </w:r>
          </w:p>
        </w:tc>
      </w:tr>
    </w:tbl>
    <w:p w14:paraId="0F316FAF" w14:textId="520FD84D" w:rsidR="00AF7371" w:rsidRPr="007F2FF6" w:rsidRDefault="00AF7371">
      <w:pPr>
        <w:rPr>
          <w:rFonts w:cs="Arial"/>
        </w:rPr>
      </w:pPr>
    </w:p>
    <w:p w14:paraId="5A970CC0" w14:textId="0AF42C8E" w:rsidR="00A5325F" w:rsidRPr="007F2FF6" w:rsidRDefault="00A5325F" w:rsidP="00A5325F">
      <w:pPr>
        <w:jc w:val="both"/>
        <w:rPr>
          <w:rFonts w:cs="Arial"/>
        </w:rPr>
      </w:pPr>
      <w:r w:rsidRPr="007F2FF6">
        <w:rPr>
          <w:rFonts w:cs="Arial"/>
        </w:rPr>
        <w:t>Strains used in this study:</w:t>
      </w:r>
    </w:p>
    <w:p w14:paraId="545DFA22" w14:textId="77777777" w:rsidR="00A5325F" w:rsidRPr="007F2FF6" w:rsidRDefault="00A5325F" w:rsidP="00A5325F">
      <w:pPr>
        <w:jc w:val="both"/>
        <w:rPr>
          <w:rFonts w:cs="Arial"/>
        </w:rPr>
      </w:pPr>
    </w:p>
    <w:tbl>
      <w:tblPr>
        <w:tblStyle w:val="TableGrid"/>
        <w:tblW w:w="0" w:type="auto"/>
        <w:tblLook w:val="04A0" w:firstRow="1" w:lastRow="0" w:firstColumn="1" w:lastColumn="0" w:noHBand="0" w:noVBand="1"/>
      </w:tblPr>
      <w:tblGrid>
        <w:gridCol w:w="1705"/>
        <w:gridCol w:w="4868"/>
        <w:gridCol w:w="2777"/>
      </w:tblGrid>
      <w:tr w:rsidR="00A5325F" w:rsidRPr="007F2FF6" w14:paraId="7D1028F0" w14:textId="77777777" w:rsidTr="001A5853">
        <w:tc>
          <w:tcPr>
            <w:tcW w:w="1705" w:type="dxa"/>
          </w:tcPr>
          <w:p w14:paraId="6FD10B9F" w14:textId="77777777" w:rsidR="00A5325F" w:rsidRPr="007F2FF6" w:rsidRDefault="00A5325F" w:rsidP="001A5853">
            <w:pPr>
              <w:spacing w:line="360" w:lineRule="auto"/>
              <w:jc w:val="both"/>
              <w:rPr>
                <w:rFonts w:cs="Arial"/>
              </w:rPr>
            </w:pPr>
            <w:r w:rsidRPr="007F2FF6">
              <w:rPr>
                <w:rFonts w:cs="Arial"/>
              </w:rPr>
              <w:t>Strain Name</w:t>
            </w:r>
          </w:p>
        </w:tc>
        <w:tc>
          <w:tcPr>
            <w:tcW w:w="4868" w:type="dxa"/>
          </w:tcPr>
          <w:p w14:paraId="41B7C5DA" w14:textId="77777777" w:rsidR="00A5325F" w:rsidRPr="007F2FF6" w:rsidRDefault="00A5325F" w:rsidP="001A5853">
            <w:pPr>
              <w:spacing w:line="360" w:lineRule="auto"/>
              <w:rPr>
                <w:rFonts w:cs="Arial"/>
              </w:rPr>
            </w:pPr>
            <w:r w:rsidRPr="007F2FF6">
              <w:rPr>
                <w:rFonts w:cs="Arial"/>
              </w:rPr>
              <w:t>Description</w:t>
            </w:r>
          </w:p>
        </w:tc>
        <w:tc>
          <w:tcPr>
            <w:tcW w:w="2777" w:type="dxa"/>
          </w:tcPr>
          <w:p w14:paraId="422E1609" w14:textId="77777777" w:rsidR="00A5325F" w:rsidRPr="007F2FF6" w:rsidRDefault="00A5325F" w:rsidP="001A5853">
            <w:pPr>
              <w:spacing w:line="360" w:lineRule="auto"/>
              <w:jc w:val="both"/>
              <w:rPr>
                <w:rFonts w:cs="Arial"/>
              </w:rPr>
            </w:pPr>
            <w:r w:rsidRPr="007F2FF6">
              <w:rPr>
                <w:rFonts w:cs="Arial"/>
              </w:rPr>
              <w:t>Reference</w:t>
            </w:r>
          </w:p>
        </w:tc>
      </w:tr>
      <w:tr w:rsidR="00DD6CA0" w:rsidRPr="007F2FF6" w14:paraId="54B572B5" w14:textId="77777777" w:rsidTr="00BE3553">
        <w:tc>
          <w:tcPr>
            <w:tcW w:w="9350" w:type="dxa"/>
            <w:gridSpan w:val="3"/>
          </w:tcPr>
          <w:p w14:paraId="2A1A798A" w14:textId="18DF5845" w:rsidR="00DD6CA0" w:rsidRPr="007F2FF6" w:rsidRDefault="00DD6CA0" w:rsidP="001A5853">
            <w:pPr>
              <w:spacing w:line="360" w:lineRule="auto"/>
              <w:jc w:val="both"/>
              <w:rPr>
                <w:rFonts w:cs="Arial"/>
              </w:rPr>
            </w:pPr>
            <w:r w:rsidRPr="007F2FF6">
              <w:rPr>
                <w:rFonts w:cs="Arial"/>
              </w:rPr>
              <w:t>Figure 1-3</w:t>
            </w:r>
          </w:p>
        </w:tc>
      </w:tr>
      <w:tr w:rsidR="00A5325F" w:rsidRPr="007F2FF6" w14:paraId="2B9C4119" w14:textId="77777777" w:rsidTr="001A5853">
        <w:tc>
          <w:tcPr>
            <w:tcW w:w="1705" w:type="dxa"/>
          </w:tcPr>
          <w:p w14:paraId="6FFF7EF0" w14:textId="77777777" w:rsidR="00A5325F" w:rsidRPr="007F2FF6" w:rsidRDefault="00A5325F" w:rsidP="001A5853">
            <w:pPr>
              <w:spacing w:line="360" w:lineRule="auto"/>
              <w:jc w:val="both"/>
              <w:rPr>
                <w:rFonts w:cs="Arial"/>
              </w:rPr>
            </w:pPr>
            <w:r w:rsidRPr="007F2FF6">
              <w:rPr>
                <w:rFonts w:cs="Arial"/>
              </w:rPr>
              <w:t xml:space="preserve">XMN46 </w:t>
            </w:r>
            <w:r w:rsidRPr="007F2FF6">
              <w:rPr>
                <w:rFonts w:cs="Arial"/>
              </w:rPr>
              <w:tab/>
            </w:r>
          </w:p>
        </w:tc>
        <w:tc>
          <w:tcPr>
            <w:tcW w:w="4868" w:type="dxa"/>
          </w:tcPr>
          <w:p w14:paraId="37B5B1DA" w14:textId="69E50AC9" w:rsidR="00A5325F" w:rsidRPr="007F2FF6" w:rsidRDefault="00A5325F" w:rsidP="001A5853">
            <w:pPr>
              <w:spacing w:line="360" w:lineRule="auto"/>
              <w:rPr>
                <w:rFonts w:cs="Arial"/>
              </w:rPr>
            </w:pPr>
            <w:r w:rsidRPr="007F2FF6">
              <w:rPr>
                <w:rFonts w:cs="Arial"/>
              </w:rPr>
              <w:t>bgIs6 [</w:t>
            </w:r>
            <w:r w:rsidR="00B64679" w:rsidRPr="007F2FF6">
              <w:rPr>
                <w:rFonts w:cs="Arial"/>
              </w:rPr>
              <w:t>P</w:t>
            </w:r>
            <w:r w:rsidRPr="007F2FF6">
              <w:rPr>
                <w:rFonts w:cs="Arial"/>
              </w:rPr>
              <w:t>flp-</w:t>
            </w:r>
            <w:proofErr w:type="gramStart"/>
            <w:r w:rsidRPr="007F2FF6">
              <w:rPr>
                <w:rFonts w:cs="Arial"/>
              </w:rPr>
              <w:t>13::</w:t>
            </w:r>
            <w:proofErr w:type="spellStart"/>
            <w:proofErr w:type="gramEnd"/>
            <w:r w:rsidRPr="007F2FF6">
              <w:rPr>
                <w:rFonts w:cs="Arial"/>
              </w:rPr>
              <w:t>mCherry</w:t>
            </w:r>
            <w:proofErr w:type="spellEnd"/>
            <w:r w:rsidRPr="007F2FF6">
              <w:rPr>
                <w:rFonts w:cs="Arial"/>
              </w:rPr>
              <w:t xml:space="preserve">; </w:t>
            </w:r>
            <w:r w:rsidR="00B64679" w:rsidRPr="007F2FF6">
              <w:rPr>
                <w:rFonts w:cs="Arial"/>
              </w:rPr>
              <w:t>P</w:t>
            </w:r>
            <w:r w:rsidRPr="007F2FF6">
              <w:rPr>
                <w:rFonts w:cs="Arial"/>
              </w:rPr>
              <w:t>ttx-3::RFP] II</w:t>
            </w:r>
          </w:p>
        </w:tc>
        <w:tc>
          <w:tcPr>
            <w:tcW w:w="2777" w:type="dxa"/>
          </w:tcPr>
          <w:p w14:paraId="5074CAFE" w14:textId="3966ED29" w:rsidR="00A5325F" w:rsidRPr="007F2FF6" w:rsidRDefault="00A5325F" w:rsidP="001A5853">
            <w:pPr>
              <w:spacing w:line="360" w:lineRule="auto"/>
              <w:jc w:val="both"/>
              <w:rPr>
                <w:rFonts w:cs="Arial"/>
              </w:rPr>
            </w:pPr>
            <w:r w:rsidRPr="007F2FF6">
              <w:rPr>
                <w:rStyle w:val="FootnoteReference"/>
                <w:rFonts w:cs="Arial"/>
              </w:rPr>
              <w:fldChar w:fldCharType="begin" w:fldLock="1"/>
            </w:r>
            <w:r w:rsidRPr="007F2FF6">
              <w:rPr>
                <w:rFonts w:cs="Arial"/>
              </w:rPr>
              <w:instrText>ADDIN CSL_CITATION {"citationItems":[{"id":"ITEM-1","itemData":{"DOI":"10.1186/1749-8104-9-10","author":[{"dropping-particle":"","family":"Opperman","given":"Karla J","non-dropping-particle":"","parse-names":false,"suffix":""},{"dropping-particle":"","family":"Grill","given":"Brock","non-dropping-particle":"","parse-names":false,"suffix":""}],"id":"ITEM-1","issue":"1","issued":{"date-parts":[["2014"]]},"page":"1-15","title":"RPM-1 is localized to distinct subcellular compartments and regulates axon length in GABAergic motor neurons","type":"article-journal","volume":"9"},"uris":["http://www.mendeley.com/documents/?uuid=c923b7ad-e097-4351-adbb-3f7b51578621"]}],"mendeley":{"formattedCitation":"(Opperman &amp; Grill, 2014)","plainTextFormattedCitation":"(Opperman &amp; Grill, 2014)","previouslyFormattedCitation":"(1)"},"properties":{"noteIndex":0},"schema":"https://github.com/citation-style-language/schema/raw/master/csl-citation.json"}</w:instrText>
            </w:r>
            <w:r w:rsidRPr="007F2FF6">
              <w:rPr>
                <w:rStyle w:val="FootnoteReference"/>
                <w:rFonts w:cs="Arial"/>
              </w:rPr>
              <w:fldChar w:fldCharType="separate"/>
            </w:r>
            <w:r w:rsidRPr="007F2FF6">
              <w:rPr>
                <w:rFonts w:cs="Arial"/>
                <w:bCs/>
                <w:noProof/>
              </w:rPr>
              <w:t>(Opperman &amp; Grill, 2014)</w:t>
            </w:r>
            <w:r w:rsidRPr="007F2FF6">
              <w:rPr>
                <w:rStyle w:val="FootnoteReference"/>
                <w:rFonts w:cs="Arial"/>
              </w:rPr>
              <w:fldChar w:fldCharType="end"/>
            </w:r>
          </w:p>
        </w:tc>
      </w:tr>
      <w:tr w:rsidR="00A5325F" w:rsidRPr="007F2FF6" w14:paraId="19527235" w14:textId="77777777" w:rsidTr="001A5853">
        <w:tc>
          <w:tcPr>
            <w:tcW w:w="1705" w:type="dxa"/>
          </w:tcPr>
          <w:p w14:paraId="247A3938" w14:textId="77777777" w:rsidR="00A5325F" w:rsidRPr="007F2FF6" w:rsidRDefault="00A5325F" w:rsidP="001A5853">
            <w:pPr>
              <w:tabs>
                <w:tab w:val="right" w:pos="1939"/>
              </w:tabs>
              <w:spacing w:line="360" w:lineRule="auto"/>
              <w:jc w:val="both"/>
              <w:rPr>
                <w:rFonts w:cs="Arial"/>
              </w:rPr>
            </w:pPr>
            <w:r w:rsidRPr="007F2FF6">
              <w:rPr>
                <w:rFonts w:cs="Arial"/>
              </w:rPr>
              <w:t>NC3315</w:t>
            </w:r>
          </w:p>
        </w:tc>
        <w:tc>
          <w:tcPr>
            <w:tcW w:w="4868" w:type="dxa"/>
          </w:tcPr>
          <w:p w14:paraId="7FF1EAB6" w14:textId="2B7C4767" w:rsidR="00A5325F" w:rsidRPr="007F2FF6" w:rsidRDefault="00A5325F" w:rsidP="001A5853">
            <w:pPr>
              <w:spacing w:line="360" w:lineRule="auto"/>
              <w:rPr>
                <w:rFonts w:cs="Arial"/>
              </w:rPr>
            </w:pPr>
            <w:r w:rsidRPr="007F2FF6">
              <w:rPr>
                <w:rFonts w:cs="Arial"/>
              </w:rPr>
              <w:t>wdEx1016 [</w:t>
            </w:r>
            <w:r w:rsidR="00B64679" w:rsidRPr="007F2FF6">
              <w:rPr>
                <w:rFonts w:cs="Arial"/>
              </w:rPr>
              <w:t>P</w:t>
            </w:r>
            <w:r w:rsidRPr="007F2FF6">
              <w:rPr>
                <w:rFonts w:cs="Arial"/>
              </w:rPr>
              <w:t>flp-</w:t>
            </w:r>
            <w:proofErr w:type="gramStart"/>
            <w:r w:rsidRPr="007F2FF6">
              <w:rPr>
                <w:rFonts w:cs="Arial"/>
              </w:rPr>
              <w:t>13::</w:t>
            </w:r>
            <w:proofErr w:type="spellStart"/>
            <w:proofErr w:type="gramEnd"/>
            <w:r w:rsidRPr="007F2FF6">
              <w:rPr>
                <w:rFonts w:cs="Arial"/>
              </w:rPr>
              <w:t>LifeAct</w:t>
            </w:r>
            <w:proofErr w:type="spellEnd"/>
            <w:r w:rsidRPr="007F2FF6">
              <w:rPr>
                <w:rFonts w:cs="Arial"/>
              </w:rPr>
              <w:t xml:space="preserve">::GFP; </w:t>
            </w:r>
            <w:r w:rsidR="00B64679" w:rsidRPr="007F2FF6">
              <w:rPr>
                <w:rFonts w:cs="Arial"/>
              </w:rPr>
              <w:t>P</w:t>
            </w:r>
            <w:r w:rsidRPr="007F2FF6">
              <w:rPr>
                <w:rFonts w:cs="Arial"/>
              </w:rPr>
              <w:t>myo-2::RFP]</w:t>
            </w:r>
          </w:p>
        </w:tc>
        <w:tc>
          <w:tcPr>
            <w:tcW w:w="2777" w:type="dxa"/>
          </w:tcPr>
          <w:p w14:paraId="7EC6525B" w14:textId="3DE0AD38" w:rsidR="00A5325F" w:rsidRPr="007F2FF6" w:rsidRDefault="00A5325F" w:rsidP="001A5853">
            <w:pPr>
              <w:spacing w:line="360" w:lineRule="auto"/>
              <w:jc w:val="both"/>
              <w:rPr>
                <w:rFonts w:cs="Arial"/>
              </w:rPr>
            </w:pPr>
            <w:r w:rsidRPr="007F2FF6">
              <w:rPr>
                <w:rFonts w:cs="Arial"/>
              </w:rPr>
              <w:fldChar w:fldCharType="begin" w:fldLock="1"/>
            </w:r>
            <w:r w:rsidRPr="007F2FF6">
              <w:rPr>
                <w:rFonts w:cs="Arial"/>
              </w:rPr>
              <w:instrText>ADDIN CSL_CITATION {"citationItems":[{"id":"ITEM-1","itemData":{"DOI":"10.7554/elife.47918","ISSN":"2050-084X","PMID":"31584430","abstract":"Dendritic spines are specialized postsynaptic structures that transduce presynaptic signals, are regulated by neural activity and correlated with learning and memory. Most studies of spine function have focused on the mammalian nervous system. However, spine-like protrusions have been reported in C. elegans (Philbrook et al. 2018), suggesting that the experimental advantages of smaller model organisms could be exploited to study the biology of dendritic spines. Here, we used super-resolution microscopy, electron microscopy, live-cell imaging and genetics to show that C. elegans motor neurons have functional dendritic spines that: (1) are structurally defined by a dynamic actin cytoskeleton; (2) appose presynaptic dense projections; (3) localize ER and ribosomes; (4) display calcium transients triggered by presynaptic activity and propagated by internal Ca++ stores; (5) respond to activity-dependent signals that regulate spine density. These studies provide a solid foundation for a new experimental paradigm that exploits the power of C. elegans genetics and live-cell imaging for fundamental studies of dendritic spine morphogenesis and function.","author":[{"dropping-particle":"","family":"Cuentas-Condori","given":"Andrea","non-dropping-particle":"","parse-names":false,"suffix":""},{"dropping-particle":"","family":"Mulcahy","given":"Ben","non-dropping-particle":"","parse-names":false,"suffix":""},{"dropping-particle":"","family":"He","given":"Siwei","non-dropping-particle":"","parse-names":false,"suffix":""},{"dropping-particle":"","family":"Palumbos","given":"Sierra","non-dropping-particle":"","parse-names":false,"suffix":""},{"dropping-particle":"","family":"Zhen","given":"Mei","non-dropping-particle":"","parse-names":false,"suffix":""},{"dropping-particle":"","family":"Miller","given":"David M","non-dropping-particle":"","parse-names":false,"suffix":""}],"container-title":"eLife","id":"ITEM-1","issued":{"date-parts":[["2019"]]},"page":"1-23","title":"C. elegans neurons have functional dendritic spines","type":"article-journal","volume":"8"},"uris":["http://www.mendeley.com/documents/?uuid=4cfb2ff0-2ded-40df-81c8-a4bfb887ab46"]}],"mendeley":{"formattedCitation":"(Cuentas-Condori et al., 2019)","plainTextFormattedCitation":"(Cuentas-Condori et al., 2019)","previouslyFormattedCitation":"(2)"},"properties":{"noteIndex":0},"schema":"https://github.com/citation-style-language/schema/raw/master/csl-citation.json"}</w:instrText>
            </w:r>
            <w:r w:rsidRPr="007F2FF6">
              <w:rPr>
                <w:rFonts w:cs="Arial"/>
              </w:rPr>
              <w:fldChar w:fldCharType="separate"/>
            </w:r>
            <w:r w:rsidRPr="007F2FF6">
              <w:rPr>
                <w:rFonts w:cs="Arial"/>
                <w:noProof/>
              </w:rPr>
              <w:t>(Cuentas-Condori et al., 2019)</w:t>
            </w:r>
            <w:r w:rsidRPr="007F2FF6">
              <w:rPr>
                <w:rFonts w:cs="Arial"/>
              </w:rPr>
              <w:fldChar w:fldCharType="end"/>
            </w:r>
          </w:p>
        </w:tc>
      </w:tr>
      <w:tr w:rsidR="00A5325F" w:rsidRPr="007F2FF6" w14:paraId="3BB9177B" w14:textId="77777777" w:rsidTr="001A5853">
        <w:tc>
          <w:tcPr>
            <w:tcW w:w="1705" w:type="dxa"/>
          </w:tcPr>
          <w:p w14:paraId="68973CF7" w14:textId="360705CB" w:rsidR="00A5325F" w:rsidRPr="007F2FF6" w:rsidRDefault="00A5325F" w:rsidP="00A5325F">
            <w:pPr>
              <w:tabs>
                <w:tab w:val="right" w:pos="1939"/>
              </w:tabs>
              <w:spacing w:line="360" w:lineRule="auto"/>
              <w:jc w:val="both"/>
              <w:rPr>
                <w:rFonts w:cs="Arial"/>
              </w:rPr>
            </w:pPr>
            <w:r w:rsidRPr="007F2FF6">
              <w:rPr>
                <w:rFonts w:cs="Arial"/>
              </w:rPr>
              <w:t>NC3608</w:t>
            </w:r>
          </w:p>
        </w:tc>
        <w:tc>
          <w:tcPr>
            <w:tcW w:w="4868" w:type="dxa"/>
          </w:tcPr>
          <w:p w14:paraId="0D0ACDEA" w14:textId="79701B91" w:rsidR="00A5325F" w:rsidRPr="007F2FF6" w:rsidRDefault="00A5325F" w:rsidP="00A5325F">
            <w:pPr>
              <w:spacing w:line="360" w:lineRule="auto"/>
              <w:rPr>
                <w:rFonts w:cs="Arial"/>
              </w:rPr>
            </w:pPr>
            <w:r w:rsidRPr="007F2FF6">
              <w:rPr>
                <w:rFonts w:cs="Arial"/>
              </w:rPr>
              <w:t>wdEx123[</w:t>
            </w:r>
            <w:r w:rsidR="00B64679" w:rsidRPr="007F2FF6">
              <w:rPr>
                <w:rFonts w:cs="Arial"/>
              </w:rPr>
              <w:t>P</w:t>
            </w:r>
            <w:r w:rsidRPr="007F2FF6">
              <w:rPr>
                <w:rFonts w:cs="Arial"/>
              </w:rPr>
              <w:t>flp-</w:t>
            </w:r>
            <w:proofErr w:type="gramStart"/>
            <w:r w:rsidRPr="007F2FF6">
              <w:rPr>
                <w:rFonts w:cs="Arial"/>
              </w:rPr>
              <w:t>13::</w:t>
            </w:r>
            <w:proofErr w:type="spellStart"/>
            <w:proofErr w:type="gramEnd"/>
            <w:r w:rsidRPr="007F2FF6">
              <w:rPr>
                <w:rFonts w:cs="Arial"/>
              </w:rPr>
              <w:t>myr</w:t>
            </w:r>
            <w:proofErr w:type="spellEnd"/>
            <w:r w:rsidRPr="007F2FF6">
              <w:rPr>
                <w:rFonts w:cs="Arial"/>
              </w:rPr>
              <w:t>::</w:t>
            </w:r>
            <w:proofErr w:type="spellStart"/>
            <w:r w:rsidRPr="007F2FF6">
              <w:rPr>
                <w:rFonts w:cs="Arial"/>
              </w:rPr>
              <w:t>mRuby</w:t>
            </w:r>
            <w:proofErr w:type="spellEnd"/>
            <w:r w:rsidRPr="007F2FF6">
              <w:rPr>
                <w:rFonts w:cs="Arial"/>
              </w:rPr>
              <w:t xml:space="preserve">; </w:t>
            </w:r>
            <w:r w:rsidR="00B64679" w:rsidRPr="007F2FF6">
              <w:rPr>
                <w:rFonts w:cs="Arial"/>
              </w:rPr>
              <w:t>P</w:t>
            </w:r>
            <w:r w:rsidRPr="007F2FF6">
              <w:rPr>
                <w:rFonts w:cs="Arial"/>
              </w:rPr>
              <w:t>str-1::GFP]</w:t>
            </w:r>
          </w:p>
        </w:tc>
        <w:tc>
          <w:tcPr>
            <w:tcW w:w="2777" w:type="dxa"/>
          </w:tcPr>
          <w:p w14:paraId="728A38FC" w14:textId="6F5BEDE1" w:rsidR="00A5325F" w:rsidRPr="007F2FF6" w:rsidRDefault="00A5325F" w:rsidP="00A5325F">
            <w:pPr>
              <w:spacing w:line="360" w:lineRule="auto"/>
              <w:jc w:val="both"/>
              <w:rPr>
                <w:rFonts w:cs="Arial"/>
              </w:rPr>
            </w:pPr>
            <w:r w:rsidRPr="007F2FF6">
              <w:rPr>
                <w:rFonts w:cs="Arial"/>
              </w:rPr>
              <w:fldChar w:fldCharType="begin" w:fldLock="1"/>
            </w:r>
            <w:r w:rsidRPr="007F2FF6">
              <w:rPr>
                <w:rFonts w:cs="Arial"/>
              </w:rPr>
              <w:instrText>ADDIN CSL_CITATION {"citationItems":[{"id":"ITEM-1","itemData":{"DOI":"10.7554/elife.47918","ISSN":"2050-084X","PMID":"31584430","abstract":"Dendritic spines are specialized postsynaptic structures that transduce presynaptic signals, are regulated by neural activity and correlated with learning and memory. Most studies of spine function have focused on the mammalian nervous system. However, spine-like protrusions have been reported in C. elegans (Philbrook et al. 2018), suggesting that the experimental advantages of smaller model organisms could be exploited to study the biology of dendritic spines. Here, we used super-resolution microscopy, electron microscopy, live-cell imaging and genetics to show that C. elegans motor neurons have functional dendritic spines that: (1) are structurally defined by a dynamic actin cytoskeleton; (2) appose presynaptic dense projections; (3) localize ER and ribosomes; (4) display calcium transients triggered by presynaptic activity and propagated by internal Ca++ stores; (5) respond to activity-dependent signals that regulate spine density. These studies provide a solid foundation for a new experimental paradigm that exploits the power of C. elegans genetics and live-cell imaging for fundamental studies of dendritic spine morphogenesis and function.","author":[{"dropping-particle":"","family":"Cuentas-Condori","given":"Andrea","non-dropping-particle":"","parse-names":false,"suffix":""},{"dropping-particle":"","family":"Mulcahy","given":"Ben","non-dropping-particle":"","parse-names":false,"suffix":""},{"dropping-particle":"","family":"He","given":"Siwei","non-dropping-particle":"","parse-names":false,"suffix":""},{"dropping-particle":"","family":"Palumbos","given":"Sierra","non-dropping-particle":"","parse-names":false,"suffix":""},{"dropping-particle":"","family":"Zhen","given":"Mei","non-dropping-particle":"","parse-names":false,"suffix":""},{"dropping-particle":"","family":"Miller","given":"David M","non-dropping-particle":"","parse-names":false,"suffix":""}],"container-title":"eLife","id":"ITEM-1","issued":{"date-parts":[["2019"]]},"page":"1-23","title":"C. elegans neurons have functional dendritic spines","type":"article-journal","volume":"8"},"uris":["http://www.mendeley.com/documents/?uuid=4cfb2ff0-2ded-40df-81c8-a4bfb887ab46"]}],"mendeley":{"formattedCitation":"(Cuentas-Condori et al., 2019)","plainTextFormattedCitation":"(Cuentas-Condori et al., 2019)","previouslyFormattedCitation":"(2)"},"properties":{"noteIndex":0},"schema":"https://github.com/citation-style-language/schema/raw/master/csl-citation.json"}</w:instrText>
            </w:r>
            <w:r w:rsidRPr="007F2FF6">
              <w:rPr>
                <w:rFonts w:cs="Arial"/>
              </w:rPr>
              <w:fldChar w:fldCharType="separate"/>
            </w:r>
            <w:r w:rsidRPr="007F2FF6">
              <w:rPr>
                <w:rFonts w:cs="Arial"/>
                <w:noProof/>
              </w:rPr>
              <w:t>(Cuentas-Condori et al., 2019)</w:t>
            </w:r>
            <w:r w:rsidRPr="007F2FF6">
              <w:rPr>
                <w:rFonts w:cs="Arial"/>
              </w:rPr>
              <w:fldChar w:fldCharType="end"/>
            </w:r>
          </w:p>
        </w:tc>
      </w:tr>
      <w:tr w:rsidR="00A5325F" w:rsidRPr="007F2FF6" w14:paraId="4166E2D2" w14:textId="77777777" w:rsidTr="001A5853">
        <w:tc>
          <w:tcPr>
            <w:tcW w:w="1705" w:type="dxa"/>
          </w:tcPr>
          <w:p w14:paraId="46C68DF1" w14:textId="3C984907" w:rsidR="00A5325F" w:rsidRPr="007F2FF6" w:rsidRDefault="00A5325F" w:rsidP="00A5325F">
            <w:pPr>
              <w:tabs>
                <w:tab w:val="right" w:pos="1939"/>
              </w:tabs>
              <w:spacing w:line="360" w:lineRule="auto"/>
              <w:jc w:val="both"/>
              <w:rPr>
                <w:rFonts w:cs="Arial"/>
              </w:rPr>
            </w:pPr>
            <w:r w:rsidRPr="007F2FF6">
              <w:rPr>
                <w:rFonts w:cs="Arial"/>
              </w:rPr>
              <w:t>NC3518</w:t>
            </w:r>
          </w:p>
        </w:tc>
        <w:tc>
          <w:tcPr>
            <w:tcW w:w="4868" w:type="dxa"/>
          </w:tcPr>
          <w:p w14:paraId="4A404299" w14:textId="76FD4ED9" w:rsidR="00A5325F" w:rsidRPr="007F2FF6" w:rsidRDefault="00A5325F" w:rsidP="00A5325F">
            <w:pPr>
              <w:spacing w:line="360" w:lineRule="auto"/>
              <w:rPr>
                <w:rFonts w:cs="Arial"/>
              </w:rPr>
            </w:pPr>
            <w:r w:rsidRPr="007F2FF6">
              <w:rPr>
                <w:rFonts w:cs="Arial"/>
              </w:rPr>
              <w:t>wdEx1108 [</w:t>
            </w:r>
            <w:r w:rsidR="00B64679" w:rsidRPr="007F2FF6">
              <w:rPr>
                <w:rFonts w:cs="Arial"/>
              </w:rPr>
              <w:t>P</w:t>
            </w:r>
            <w:r w:rsidRPr="007F2FF6">
              <w:rPr>
                <w:rFonts w:cs="Arial"/>
              </w:rPr>
              <w:t>flp-</w:t>
            </w:r>
            <w:proofErr w:type="gramStart"/>
            <w:r w:rsidRPr="007F2FF6">
              <w:rPr>
                <w:rFonts w:cs="Arial"/>
              </w:rPr>
              <w:t>13::</w:t>
            </w:r>
            <w:proofErr w:type="gramEnd"/>
            <w:r w:rsidRPr="007F2FF6">
              <w:rPr>
                <w:rFonts w:cs="Arial"/>
              </w:rPr>
              <w:t>GFP::Utrophin;</w:t>
            </w:r>
            <w:r w:rsidR="00B64679" w:rsidRPr="007F2FF6">
              <w:rPr>
                <w:rFonts w:cs="Arial"/>
              </w:rPr>
              <w:t xml:space="preserve"> P</w:t>
            </w:r>
            <w:r w:rsidRPr="007F2FF6">
              <w:rPr>
                <w:rFonts w:cs="Arial"/>
              </w:rPr>
              <w:t>myo-2::RFP]</w:t>
            </w:r>
          </w:p>
        </w:tc>
        <w:tc>
          <w:tcPr>
            <w:tcW w:w="2777" w:type="dxa"/>
          </w:tcPr>
          <w:p w14:paraId="1E47BE93" w14:textId="003198EB" w:rsidR="00A5325F" w:rsidRPr="007F2FF6" w:rsidRDefault="00A5325F" w:rsidP="00A5325F">
            <w:pPr>
              <w:spacing w:line="360" w:lineRule="auto"/>
              <w:jc w:val="both"/>
              <w:rPr>
                <w:rFonts w:cs="Arial"/>
              </w:rPr>
            </w:pPr>
            <w:r w:rsidRPr="007F2FF6">
              <w:rPr>
                <w:rFonts w:cs="Arial"/>
              </w:rPr>
              <w:fldChar w:fldCharType="begin" w:fldLock="1"/>
            </w:r>
            <w:r w:rsidRPr="007F2FF6">
              <w:rPr>
                <w:rFonts w:cs="Arial"/>
              </w:rPr>
              <w:instrText>ADDIN CSL_CITATION {"citationItems":[{"id":"ITEM-1","itemData":{"DOI":"10.7554/elife.47918","ISSN":"2050-084X","PMID":"31584430","abstract":"Dendritic spines are specialized postsynaptic structures that transduce presynaptic signals, are regulated by neural activity and correlated with learning and memory. Most studies of spine function have focused on the mammalian nervous system. However, spine-like protrusions have been reported in C. elegans (Philbrook et al. 2018), suggesting that the experimental advantages of smaller model organisms could be exploited to study the biology of dendritic spines. Here, we used super-resolution microscopy, electron microscopy, live-cell imaging and genetics to show that C. elegans motor neurons have functional dendritic spines that: (1) are structurally defined by a dynamic actin cytoskeleton; (2) appose presynaptic dense projections; (3) localize ER and ribosomes; (4) display calcium transients triggered by presynaptic activity and propagated by internal Ca++ stores; (5) respond to activity-dependent signals that regulate spine density. These studies provide a solid foundation for a new experimental paradigm that exploits the power of C. elegans genetics and live-cell imaging for fundamental studies of dendritic spine morphogenesis and function.","author":[{"dropping-particle":"","family":"Cuentas-Condori","given":"Andrea","non-dropping-particle":"","parse-names":false,"suffix":""},{"dropping-particle":"","family":"Mulcahy","given":"Ben","non-dropping-particle":"","parse-names":false,"suffix":""},{"dropping-particle":"","family":"He","given":"Siwei","non-dropping-particle":"","parse-names":false,"suffix":""},{"dropping-particle":"","family":"Palumbos","given":"Sierra","non-dropping-particle":"","parse-names":false,"suffix":""},{"dropping-particle":"","family":"Zhen","given":"Mei","non-dropping-particle":"","parse-names":false,"suffix":""},{"dropping-particle":"","family":"Miller","given":"David M","non-dropping-particle":"","parse-names":false,"suffix":""}],"container-title":"eLife","id":"ITEM-1","issued":{"date-parts":[["2019"]]},"page":"1-23","title":"C. elegans neurons have functional dendritic spines","type":"article-journal","volume":"8"},"uris":["http://www.mendeley.com/documents/?uuid=4cfb2ff0-2ded-40df-81c8-a4bfb887ab46"]}],"mendeley":{"formattedCitation":"(Cuentas-Condori et al., 2019)","plainTextFormattedCitation":"(Cuentas-Condori et al., 2019)","previouslyFormattedCitation":"(2)"},"properties":{"noteIndex":0},"schema":"https://github.com/citation-style-language/schema/raw/master/csl-citation.json"}</w:instrText>
            </w:r>
            <w:r w:rsidRPr="007F2FF6">
              <w:rPr>
                <w:rFonts w:cs="Arial"/>
              </w:rPr>
              <w:fldChar w:fldCharType="separate"/>
            </w:r>
            <w:r w:rsidRPr="007F2FF6">
              <w:rPr>
                <w:rFonts w:cs="Arial"/>
                <w:noProof/>
              </w:rPr>
              <w:t>(Cuentas-Condori et al., 2019)</w:t>
            </w:r>
            <w:r w:rsidRPr="007F2FF6">
              <w:rPr>
                <w:rFonts w:cs="Arial"/>
              </w:rPr>
              <w:fldChar w:fldCharType="end"/>
            </w:r>
          </w:p>
        </w:tc>
      </w:tr>
      <w:tr w:rsidR="00DD6CA0" w:rsidRPr="007F2FF6" w14:paraId="09BAB1BF" w14:textId="77777777" w:rsidTr="00F44A27">
        <w:tc>
          <w:tcPr>
            <w:tcW w:w="9350" w:type="dxa"/>
            <w:gridSpan w:val="3"/>
          </w:tcPr>
          <w:p w14:paraId="7E04659A" w14:textId="53469B7B" w:rsidR="00DD6CA0" w:rsidRPr="007F2FF6" w:rsidRDefault="00DD6CA0" w:rsidP="00A5325F">
            <w:pPr>
              <w:spacing w:line="360" w:lineRule="auto"/>
              <w:jc w:val="both"/>
              <w:rPr>
                <w:rFonts w:cs="Arial"/>
              </w:rPr>
            </w:pPr>
            <w:r w:rsidRPr="007F2FF6">
              <w:rPr>
                <w:rFonts w:cs="Arial"/>
              </w:rPr>
              <w:t>Figure 4</w:t>
            </w:r>
          </w:p>
        </w:tc>
      </w:tr>
      <w:tr w:rsidR="00614EC3" w:rsidRPr="007F2FF6" w14:paraId="113ABD4A" w14:textId="77777777" w:rsidTr="001A5853">
        <w:tc>
          <w:tcPr>
            <w:tcW w:w="1705" w:type="dxa"/>
          </w:tcPr>
          <w:p w14:paraId="4895FC97" w14:textId="74EC71D6" w:rsidR="00614EC3" w:rsidRPr="007F2FF6" w:rsidRDefault="00614EC3" w:rsidP="00614EC3">
            <w:pPr>
              <w:tabs>
                <w:tab w:val="right" w:pos="1939"/>
              </w:tabs>
              <w:spacing w:line="360" w:lineRule="auto"/>
              <w:jc w:val="both"/>
              <w:rPr>
                <w:rFonts w:cs="Arial"/>
              </w:rPr>
            </w:pPr>
            <w:r w:rsidRPr="007F2FF6">
              <w:rPr>
                <w:rFonts w:cs="Arial"/>
              </w:rPr>
              <w:t>NC3569</w:t>
            </w:r>
          </w:p>
        </w:tc>
        <w:tc>
          <w:tcPr>
            <w:tcW w:w="4868" w:type="dxa"/>
          </w:tcPr>
          <w:p w14:paraId="3D08063F" w14:textId="49755349" w:rsidR="00614EC3" w:rsidRPr="007F2FF6" w:rsidRDefault="00614EC3" w:rsidP="00614EC3">
            <w:pPr>
              <w:spacing w:line="360" w:lineRule="auto"/>
              <w:rPr>
                <w:rFonts w:cs="Arial"/>
                <w:iCs/>
              </w:rPr>
            </w:pPr>
            <w:r w:rsidRPr="007F2FF6">
              <w:rPr>
                <w:rFonts w:cs="Arial"/>
                <w:iCs/>
              </w:rPr>
              <w:t>lin-15(n765); wdIs117 [</w:t>
            </w:r>
            <w:r w:rsidR="00B64679" w:rsidRPr="007F2FF6">
              <w:rPr>
                <w:rFonts w:cs="Arial"/>
                <w:iCs/>
              </w:rPr>
              <w:t>P</w:t>
            </w:r>
            <w:r w:rsidRPr="007F2FF6">
              <w:rPr>
                <w:rFonts w:cs="Arial"/>
                <w:iCs/>
              </w:rPr>
              <w:t>unc-</w:t>
            </w:r>
            <w:proofErr w:type="gramStart"/>
            <w:r w:rsidRPr="007F2FF6">
              <w:rPr>
                <w:rFonts w:cs="Arial"/>
                <w:iCs/>
              </w:rPr>
              <w:t>4::</w:t>
            </w:r>
            <w:proofErr w:type="spellStart"/>
            <w:proofErr w:type="gramEnd"/>
            <w:r w:rsidRPr="007F2FF6">
              <w:rPr>
                <w:rFonts w:cs="Arial"/>
                <w:iCs/>
              </w:rPr>
              <w:t>ceChrimson</w:t>
            </w:r>
            <w:proofErr w:type="spellEnd"/>
            <w:r w:rsidRPr="007F2FF6">
              <w:rPr>
                <w:rFonts w:cs="Arial"/>
                <w:iCs/>
              </w:rPr>
              <w:t>::SL2::3xNLSGFP; lin-15+] II?; wdEx1112 [</w:t>
            </w:r>
            <w:r w:rsidR="00B64679" w:rsidRPr="007F2FF6">
              <w:rPr>
                <w:rFonts w:cs="Arial"/>
                <w:iCs/>
              </w:rPr>
              <w:t>P</w:t>
            </w:r>
            <w:r w:rsidRPr="007F2FF6">
              <w:rPr>
                <w:rFonts w:cs="Arial"/>
                <w:iCs/>
              </w:rPr>
              <w:t>flp13::GCaMP6s::SL2::</w:t>
            </w:r>
            <w:proofErr w:type="spellStart"/>
            <w:r w:rsidRPr="007F2FF6">
              <w:rPr>
                <w:rFonts w:cs="Arial"/>
                <w:iCs/>
              </w:rPr>
              <w:t>mCherry</w:t>
            </w:r>
            <w:proofErr w:type="spellEnd"/>
            <w:r w:rsidRPr="007F2FF6">
              <w:rPr>
                <w:rFonts w:cs="Arial"/>
                <w:iCs/>
              </w:rPr>
              <w:t xml:space="preserve">] </w:t>
            </w:r>
          </w:p>
        </w:tc>
        <w:tc>
          <w:tcPr>
            <w:tcW w:w="2777" w:type="dxa"/>
          </w:tcPr>
          <w:p w14:paraId="77E46D1C" w14:textId="54173F0A" w:rsidR="00614EC3" w:rsidRPr="007F2FF6" w:rsidRDefault="00614EC3" w:rsidP="00614EC3">
            <w:pPr>
              <w:spacing w:line="360" w:lineRule="auto"/>
              <w:jc w:val="both"/>
              <w:rPr>
                <w:rFonts w:cs="Arial"/>
              </w:rPr>
            </w:pPr>
            <w:r w:rsidRPr="007F2FF6">
              <w:rPr>
                <w:rFonts w:cs="Arial"/>
              </w:rPr>
              <w:fldChar w:fldCharType="begin" w:fldLock="1"/>
            </w:r>
            <w:r w:rsidRPr="007F2FF6">
              <w:rPr>
                <w:rFonts w:cs="Arial"/>
              </w:rPr>
              <w:instrText>ADDIN CSL_CITATION {"citationItems":[{"id":"ITEM-1","itemData":{"DOI":"10.7554/elife.47918","ISSN":"2050-084X","PMID":"31584430","abstract":"Dendritic spines are specialized postsynaptic structures that transduce presynaptic signals, are regulated by neural activity and correlated with learning and memory. Most studies of spine function have focused on the mammalian nervous system. However, spine-like protrusions have been reported in C. elegans (Philbrook et al. 2018), suggesting that the experimental advantages of smaller model organisms could be exploited to study the biology of dendritic spines. Here, we used super-resolution microscopy, electron microscopy, live-cell imaging and genetics to show that C. elegans motor neurons have functional dendritic spines that: (1) are structurally defined by a dynamic actin cytoskeleton; (2) appose presynaptic dense projections; (3) localize ER and ribosomes; (4) display calcium transients triggered by presynaptic activity and propagated by internal Ca++ stores; (5) respond to activity-dependent signals that regulate spine density. These studies provide a solid foundation for a new experimental paradigm that exploits the power of C. elegans genetics and live-cell imaging for fundamental studies of dendritic spine morphogenesis and function.","author":[{"dropping-particle":"","family":"Cuentas-Condori","given":"Andrea","non-dropping-particle":"","parse-names":false,"suffix":""},{"dropping-particle":"","family":"Mulcahy","given":"Ben","non-dropping-particle":"","parse-names":false,"suffix":""},{"dropping-particle":"","family":"He","given":"Siwei","non-dropping-particle":"","parse-names":false,"suffix":""},{"dropping-particle":"","family":"Palumbos","given":"Sierra","non-dropping-particle":"","parse-names":false,"suffix":""},{"dropping-particle":"","family":"Zhen","given":"Mei","non-dropping-particle":"","parse-names":false,"suffix":""},{"dropping-particle":"","family":"Miller","given":"David M","non-dropping-particle":"","parse-names":false,"suffix":""}],"container-title":"eLife","id":"ITEM-1","issued":{"date-parts":[["2019"]]},"page":"1-23","title":"C. elegans neurons have functional dendritic spines","type":"article-journal","volume":"8"},"uris":["http://www.mendeley.com/documents/?uuid=4cfb2ff0-2ded-40df-81c8-a4bfb887ab46"]}],"mendeley":{"formattedCitation":"(Cuentas-Condori et al., 2019)","plainTextFormattedCitation":"(Cuentas-Condori et al., 2019)","previouslyFormattedCitation":"(2)"},"properties":{"noteIndex":0},"schema":"https://github.com/citation-style-language/schema/raw/master/csl-citation.json"}</w:instrText>
            </w:r>
            <w:r w:rsidRPr="007F2FF6">
              <w:rPr>
                <w:rFonts w:cs="Arial"/>
              </w:rPr>
              <w:fldChar w:fldCharType="separate"/>
            </w:r>
            <w:r w:rsidRPr="007F2FF6">
              <w:rPr>
                <w:rFonts w:cs="Arial"/>
                <w:noProof/>
              </w:rPr>
              <w:t>(Cuentas-Condori et al., 2019)</w:t>
            </w:r>
            <w:r w:rsidRPr="007F2FF6">
              <w:rPr>
                <w:rFonts w:cs="Arial"/>
              </w:rPr>
              <w:fldChar w:fldCharType="end"/>
            </w:r>
          </w:p>
        </w:tc>
      </w:tr>
    </w:tbl>
    <w:p w14:paraId="44E9DB83" w14:textId="77777777" w:rsidR="00A5325F" w:rsidRPr="007F2FF6" w:rsidRDefault="00A5325F">
      <w:pPr>
        <w:rPr>
          <w:rFonts w:cs="Arial"/>
        </w:rPr>
      </w:pPr>
    </w:p>
    <w:sectPr w:rsidR="00A5325F" w:rsidRPr="007F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MjUwM7M0NrE0NjRV0lEKTi0uzszPAykwrAUAtJANaiwAAAA="/>
  </w:docVars>
  <w:rsids>
    <w:rsidRoot w:val="00AF7371"/>
    <w:rsid w:val="00614EC3"/>
    <w:rsid w:val="007F2FF6"/>
    <w:rsid w:val="00A5325F"/>
    <w:rsid w:val="00AF7371"/>
    <w:rsid w:val="00B64679"/>
    <w:rsid w:val="00DD6CA0"/>
    <w:rsid w:val="00DE125A"/>
    <w:rsid w:val="00F028FC"/>
    <w:rsid w:val="00F3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1026"/>
  <w15:chartTrackingRefBased/>
  <w15:docId w15:val="{0DECC1C6-EE90-D24E-B6A0-35BA2940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371"/>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53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18DD-242B-F54F-98F4-B37E4E58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Cuentas</dc:creator>
  <cp:keywords/>
  <dc:description/>
  <cp:lastModifiedBy>Nilanjana Das</cp:lastModifiedBy>
  <cp:revision>2</cp:revision>
  <dcterms:created xsi:type="dcterms:W3CDTF">2021-09-03T06:45:00Z</dcterms:created>
  <dcterms:modified xsi:type="dcterms:W3CDTF">2021-09-03T06:45:00Z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b7b2da8a-c83e-3abf-8166-f8f0210be466</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